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50356" w14:textId="77777777" w:rsidR="00980243" w:rsidRDefault="00980243" w:rsidP="00980243">
      <w:pPr>
        <w:shd w:val="clear" w:color="auto" w:fill="FFFFFF"/>
        <w:spacing w:after="390" w:line="240" w:lineRule="auto"/>
        <w:jc w:val="center"/>
        <w:rPr>
          <w:rFonts w:ascii="Lato" w:eastAsia="Times New Roman" w:hAnsi="Lato" w:cs="Arial"/>
          <w:color w:val="545454"/>
          <w:sz w:val="27"/>
          <w:szCs w:val="27"/>
          <w:lang w:val="en-US" w:eastAsia="en-GB"/>
        </w:rPr>
      </w:pPr>
      <w:r>
        <w:rPr>
          <w:rFonts w:ascii="Lato" w:eastAsia="Times New Roman" w:hAnsi="Lato" w:cs="Arial"/>
          <w:color w:val="545454"/>
          <w:sz w:val="27"/>
          <w:szCs w:val="27"/>
          <w:lang w:val="en-US" w:eastAsia="en-GB"/>
        </w:rPr>
        <w:t xml:space="preserve">Consumer Protection </w:t>
      </w:r>
    </w:p>
    <w:p w14:paraId="0FCDEFF5" w14:textId="77777777" w:rsid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p>
    <w:p w14:paraId="6A7B4B30"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In April 2008 The Consumer Protection from Unfair Trading Regulations 2008 (CPR) came into force in UK bringing u</w:t>
      </w:r>
      <w:bookmarkStart w:id="0" w:name="_GoBack"/>
      <w:bookmarkEnd w:id="0"/>
      <w:r w:rsidRPr="00980243">
        <w:rPr>
          <w:rFonts w:ascii="Lato" w:eastAsia="Times New Roman" w:hAnsi="Lato" w:cs="Arial"/>
          <w:color w:val="545454"/>
          <w:sz w:val="27"/>
          <w:szCs w:val="27"/>
          <w:lang w:val="en-US" w:eastAsia="en-GB"/>
        </w:rPr>
        <w:t xml:space="preserve">s into line with other legislation within the European Union. This powerful piece of Legislation replaced a number of Acts of Parliament including The Fraudulent Mediums Act 1951 and applies to any business or individual that </w:t>
      </w:r>
      <w:r w:rsidRPr="00980243">
        <w:rPr>
          <w:rFonts w:ascii="Lato" w:eastAsia="Times New Roman" w:hAnsi="Lato" w:cs="Arial"/>
          <w:b/>
          <w:bCs/>
          <w:color w:val="545454"/>
          <w:sz w:val="27"/>
          <w:szCs w:val="27"/>
          <w:lang w:val="en-US" w:eastAsia="en-GB"/>
        </w:rPr>
        <w:t>sells</w:t>
      </w:r>
      <w:r w:rsidRPr="00980243">
        <w:rPr>
          <w:rFonts w:ascii="Lato" w:eastAsia="Times New Roman" w:hAnsi="Lato" w:cs="Arial"/>
          <w:color w:val="545454"/>
          <w:sz w:val="27"/>
          <w:szCs w:val="27"/>
          <w:lang w:val="en-US" w:eastAsia="en-GB"/>
        </w:rPr>
        <w:t xml:space="preserve"> a product or services to consumers rather than to a business. The Regulations only apply when a product or service is sold or there is an intention to sell.</w:t>
      </w:r>
    </w:p>
    <w:p w14:paraId="170071B1"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There are three main areas within the Regulations where a business or individual may fall foul</w:t>
      </w:r>
    </w:p>
    <w:p w14:paraId="07165371" w14:textId="77777777" w:rsidR="00980243" w:rsidRPr="00980243" w:rsidRDefault="00980243" w:rsidP="00980243">
      <w:pPr>
        <w:numPr>
          <w:ilvl w:val="0"/>
          <w:numId w:val="1"/>
        </w:numPr>
        <w:shd w:val="clear" w:color="auto" w:fill="FFFFFF"/>
        <w:spacing w:before="100" w:beforeAutospacing="1" w:after="100" w:afterAutospacing="1" w:line="240" w:lineRule="auto"/>
        <w:ind w:left="600"/>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Misleading Actions. </w:t>
      </w:r>
      <w:r w:rsidRPr="00980243">
        <w:rPr>
          <w:rFonts w:ascii="Lato" w:eastAsia="Times New Roman" w:hAnsi="Lato" w:cs="Arial"/>
          <w:i/>
          <w:iCs/>
          <w:color w:val="545454"/>
          <w:sz w:val="27"/>
          <w:szCs w:val="27"/>
          <w:lang w:val="en-US" w:eastAsia="en-GB"/>
        </w:rPr>
        <w:t>False or deceptive practice in    relation to a specific list of key factors</w:t>
      </w:r>
      <w:r w:rsidRPr="00980243">
        <w:rPr>
          <w:rFonts w:ascii="Lato" w:eastAsia="Times New Roman" w:hAnsi="Lato" w:cs="Arial"/>
          <w:color w:val="545454"/>
          <w:sz w:val="27"/>
          <w:szCs w:val="27"/>
          <w:lang w:val="en-US" w:eastAsia="en-GB"/>
        </w:rPr>
        <w:t>.</w:t>
      </w:r>
    </w:p>
    <w:p w14:paraId="7E8BDC1B" w14:textId="77777777" w:rsidR="00980243" w:rsidRPr="00980243" w:rsidRDefault="00980243" w:rsidP="00980243">
      <w:pPr>
        <w:numPr>
          <w:ilvl w:val="0"/>
          <w:numId w:val="1"/>
        </w:numPr>
        <w:shd w:val="clear" w:color="auto" w:fill="FFFFFF"/>
        <w:spacing w:before="100" w:beforeAutospacing="1" w:after="100" w:afterAutospacing="1" w:line="240" w:lineRule="auto"/>
        <w:ind w:left="600"/>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Misleading Omissions. </w:t>
      </w:r>
      <w:r w:rsidRPr="00980243">
        <w:rPr>
          <w:rFonts w:ascii="Lato" w:eastAsia="Times New Roman" w:hAnsi="Lato" w:cs="Arial"/>
          <w:i/>
          <w:iCs/>
          <w:color w:val="545454"/>
          <w:sz w:val="27"/>
          <w:szCs w:val="27"/>
          <w:lang w:val="en-US" w:eastAsia="en-GB"/>
        </w:rPr>
        <w:t>Omissions (or unclear/untimely provision) of material information. </w:t>
      </w:r>
    </w:p>
    <w:p w14:paraId="5687F1A4" w14:textId="77777777" w:rsidR="00980243" w:rsidRPr="00980243" w:rsidRDefault="00980243" w:rsidP="00980243">
      <w:pPr>
        <w:numPr>
          <w:ilvl w:val="0"/>
          <w:numId w:val="1"/>
        </w:numPr>
        <w:shd w:val="clear" w:color="auto" w:fill="FFFFFF"/>
        <w:spacing w:before="100" w:beforeAutospacing="1" w:after="100" w:afterAutospacing="1" w:line="240" w:lineRule="auto"/>
        <w:ind w:left="600"/>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Aggressive Commercial Practice. </w:t>
      </w:r>
      <w:r w:rsidRPr="00980243">
        <w:rPr>
          <w:rFonts w:ascii="Lato" w:eastAsia="Times New Roman" w:hAnsi="Lato" w:cs="Arial"/>
          <w:i/>
          <w:iCs/>
          <w:color w:val="545454"/>
          <w:sz w:val="27"/>
          <w:szCs w:val="27"/>
          <w:lang w:val="en-US" w:eastAsia="en-GB"/>
        </w:rPr>
        <w:t>Aggressive practice by harassment, coercion or undue influence likely to significantly impair the average consumer’s freedom of choice or conduct</w:t>
      </w:r>
    </w:p>
    <w:p w14:paraId="384E07E8"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All three of the above </w:t>
      </w:r>
      <w:r w:rsidRPr="00980243">
        <w:rPr>
          <w:rFonts w:ascii="Lato" w:eastAsia="Times New Roman" w:hAnsi="Lato" w:cs="Arial"/>
          <w:b/>
          <w:bCs/>
          <w:color w:val="545454"/>
          <w:sz w:val="27"/>
          <w:szCs w:val="27"/>
          <w:lang w:val="en-US" w:eastAsia="en-GB"/>
        </w:rPr>
        <w:t>must also</w:t>
      </w:r>
      <w:r w:rsidRPr="00980243">
        <w:rPr>
          <w:rFonts w:ascii="Lato" w:eastAsia="Times New Roman" w:hAnsi="Lato" w:cs="Arial"/>
          <w:color w:val="545454"/>
          <w:sz w:val="27"/>
          <w:szCs w:val="27"/>
          <w:lang w:val="en-US" w:eastAsia="en-GB"/>
        </w:rPr>
        <w:t xml:space="preserve"> cause (or are likely to cause) the average consumer to take a different (transactional) decision.</w:t>
      </w:r>
    </w:p>
    <w:p w14:paraId="24921544"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An individual who is prosecuted under the Regulations would have to prove that he did not breach one of the above points.</w:t>
      </w:r>
    </w:p>
    <w:p w14:paraId="13469E35"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Regarding misleading actions, one of the points on the list of key factors refers to </w:t>
      </w:r>
      <w:r w:rsidRPr="00980243">
        <w:rPr>
          <w:rFonts w:ascii="Lato" w:eastAsia="Times New Roman" w:hAnsi="Lato" w:cs="Arial"/>
          <w:i/>
          <w:iCs/>
          <w:color w:val="545454"/>
          <w:sz w:val="27"/>
          <w:szCs w:val="27"/>
          <w:lang w:val="en-US" w:eastAsia="en-GB"/>
        </w:rPr>
        <w:t>the existence or nature of the product or service.</w:t>
      </w:r>
    </w:p>
    <w:p w14:paraId="17301C31"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In an environment where the Medium is giving a reading (product if you like), the main part of his service is to provide the sitter with evidence that there is an intelligent life after our physical death. Although many genuine Mediums have provided startlingly accurate and detailed evidence of communication with the Spirit world, the confines of modern science have as yet been unable to scientifically prove this to be the case. Therefore in the eyes of the law it would be extremely difficult if not impossible to prove that the Medium was in contact with Spirit when Science cannot prove that a Spirit world exists.</w:t>
      </w:r>
    </w:p>
    <w:p w14:paraId="2BB63B79"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The Regulations have caused uproar within the Spiritualist community where the core of their religion is that there is a Spirit world and that there is communication </w:t>
      </w:r>
      <w:r w:rsidRPr="00980243">
        <w:rPr>
          <w:rFonts w:ascii="Lato" w:eastAsia="Times New Roman" w:hAnsi="Lato" w:cs="Arial"/>
          <w:color w:val="545454"/>
          <w:sz w:val="27"/>
          <w:szCs w:val="27"/>
          <w:lang w:val="en-US" w:eastAsia="en-GB"/>
        </w:rPr>
        <w:lastRenderedPageBreak/>
        <w:t xml:space="preserve">between our world and theirs. </w:t>
      </w:r>
      <w:r w:rsidRPr="00980243">
        <w:rPr>
          <w:rFonts w:ascii="Lato" w:eastAsia="Times New Roman" w:hAnsi="Lato" w:cs="Arial"/>
          <w:i/>
          <w:iCs/>
          <w:color w:val="545454"/>
          <w:sz w:val="27"/>
          <w:szCs w:val="27"/>
          <w:lang w:val="en-US" w:eastAsia="en-GB"/>
        </w:rPr>
        <w:t>The third principle of Spiritualism gives for the Communion of Spirit and the Ministry of Angels.</w:t>
      </w:r>
    </w:p>
    <w:p w14:paraId="0914693A"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It has been suggested that</w:t>
      </w:r>
      <w:r w:rsidRPr="00980243">
        <w:rPr>
          <w:rFonts w:ascii="Lato" w:eastAsia="Times New Roman" w:hAnsi="Lato" w:cs="Arial"/>
          <w:i/>
          <w:iCs/>
          <w:color w:val="545454"/>
          <w:sz w:val="27"/>
          <w:szCs w:val="27"/>
          <w:lang w:val="en-US" w:eastAsia="en-GB"/>
        </w:rPr>
        <w:t xml:space="preserve"> </w:t>
      </w:r>
      <w:r w:rsidRPr="00980243">
        <w:rPr>
          <w:rFonts w:ascii="Lato" w:eastAsia="Times New Roman" w:hAnsi="Lato" w:cs="Arial"/>
          <w:color w:val="545454"/>
          <w:sz w:val="27"/>
          <w:szCs w:val="27"/>
          <w:lang w:val="en-US" w:eastAsia="en-GB"/>
        </w:rPr>
        <w:t>although it does not affect the divine service provided at a Spiritualist church, other activities where a charge is made shall fall under the umbrella of the Regulations. Churches hold clairvoyant evenings, Psychic suppers and other events where people have to pay for entry. The money helps to fund the church and provide for its upkeep.</w:t>
      </w:r>
    </w:p>
    <w:p w14:paraId="6F15887F"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Many Psychics and Mediums have been advised to add a disclaimer to their work to the effect that it is </w:t>
      </w:r>
      <w:r w:rsidRPr="00980243">
        <w:rPr>
          <w:rFonts w:ascii="Lato" w:eastAsia="Times New Roman" w:hAnsi="Lato" w:cs="Arial"/>
          <w:i/>
          <w:iCs/>
          <w:color w:val="545454"/>
          <w:sz w:val="27"/>
          <w:szCs w:val="27"/>
          <w:lang w:val="en-US" w:eastAsia="en-GB"/>
        </w:rPr>
        <w:t>for entertainment purposes only. </w:t>
      </w:r>
    </w:p>
    <w:p w14:paraId="28225358"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b/>
          <w:bCs/>
          <w:color w:val="545454"/>
          <w:sz w:val="27"/>
          <w:szCs w:val="27"/>
          <w:lang w:val="en-US" w:eastAsia="en-GB"/>
        </w:rPr>
        <w:t>Why is this?</w:t>
      </w:r>
    </w:p>
    <w:p w14:paraId="47E41D54"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When CPR was introduced there was much media coverage regarding Psychics and Mediums. It was suggested that they provide a warning of some kind.</w:t>
      </w:r>
    </w:p>
    <w:p w14:paraId="1545E880"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In 2008 a complaint was made to Glasgow Trading Standards regarding a Medium who was appearing at the Pavilion Theatre. The context of the complaint was that no warning had been given to those attending the theatre which, quote, ‘seemed to be the minimum required by the new law.’ (There is no mention in CPR about a warning or disclaimer).</w:t>
      </w:r>
    </w:p>
    <w:p w14:paraId="35F526D4"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A Trading Standards Officer responded to the complaint by saying that;</w:t>
      </w:r>
    </w:p>
    <w:p w14:paraId="18DF72ED"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i/>
          <w:iCs/>
          <w:color w:val="545454"/>
          <w:sz w:val="27"/>
          <w:szCs w:val="27"/>
          <w:lang w:val="en-US" w:eastAsia="en-GB"/>
        </w:rPr>
        <w:t xml:space="preserve">following </w:t>
      </w:r>
      <w:proofErr w:type="gramStart"/>
      <w:r w:rsidRPr="00980243">
        <w:rPr>
          <w:rFonts w:ascii="Lato" w:eastAsia="Times New Roman" w:hAnsi="Lato" w:cs="Arial"/>
          <w:i/>
          <w:iCs/>
          <w:color w:val="545454"/>
          <w:sz w:val="27"/>
          <w:szCs w:val="27"/>
          <w:lang w:val="en-US" w:eastAsia="en-GB"/>
        </w:rPr>
        <w:t>discussion</w:t>
      </w:r>
      <w:proofErr w:type="gramEnd"/>
      <w:r w:rsidRPr="00980243">
        <w:rPr>
          <w:rFonts w:ascii="Lato" w:eastAsia="Times New Roman" w:hAnsi="Lato" w:cs="Arial"/>
          <w:i/>
          <w:iCs/>
          <w:color w:val="545454"/>
          <w:sz w:val="27"/>
          <w:szCs w:val="27"/>
          <w:lang w:val="en-US" w:eastAsia="en-GB"/>
        </w:rPr>
        <w:t xml:space="preserve"> it has been agreed that any Psychic show should contain a disclaimer stating ‘for entertainment purposes only or for scientific experiment’. </w:t>
      </w:r>
    </w:p>
    <w:p w14:paraId="4F48B4C1"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He also wrote;</w:t>
      </w:r>
    </w:p>
    <w:p w14:paraId="334B34F8"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i/>
          <w:iCs/>
          <w:color w:val="545454"/>
          <w:sz w:val="27"/>
          <w:szCs w:val="27"/>
          <w:lang w:val="en-US" w:eastAsia="en-GB"/>
        </w:rPr>
        <w:t>The practicalities of enforcing a piece of legislation like this against a Medium or Psychic mean that it is more appropriate to advise the consumer of the entertainment aspect rather than trying to prove in a court of law that someone can or cannot contact the deceased, therefore as long as the venue are making it clear that the show is for entertainment purposes then we would be satisfied that any consumers who attend the show are not being misled’.</w:t>
      </w:r>
    </w:p>
    <w:p w14:paraId="673BD44D"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So if this is to be taken as good practice then an event at a Spiritualist church where the public pay an entry fee to see a working Medium, a disclaimer has to be displayed stating that it is for ‘entertainment purposes’. This gives the impression that Spiritualists don’t believe in what they </w:t>
      </w:r>
      <w:proofErr w:type="gramStart"/>
      <w:r w:rsidRPr="00980243">
        <w:rPr>
          <w:rFonts w:ascii="Lato" w:eastAsia="Times New Roman" w:hAnsi="Lato" w:cs="Arial"/>
          <w:color w:val="545454"/>
          <w:sz w:val="27"/>
          <w:szCs w:val="27"/>
          <w:lang w:val="en-US" w:eastAsia="en-GB"/>
        </w:rPr>
        <w:t>are  doing</w:t>
      </w:r>
      <w:proofErr w:type="gramEnd"/>
      <w:r w:rsidRPr="00980243">
        <w:rPr>
          <w:rFonts w:ascii="Lato" w:eastAsia="Times New Roman" w:hAnsi="Lato" w:cs="Arial"/>
          <w:color w:val="545454"/>
          <w:sz w:val="27"/>
          <w:szCs w:val="27"/>
          <w:lang w:val="en-US" w:eastAsia="en-GB"/>
        </w:rPr>
        <w:t xml:space="preserve"> and is insulting to the religion of Spiritualism.</w:t>
      </w:r>
    </w:p>
    <w:p w14:paraId="7D4C6F60"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lastRenderedPageBreak/>
        <w:t xml:space="preserve">What other </w:t>
      </w:r>
      <w:proofErr w:type="spellStart"/>
      <w:r w:rsidRPr="00980243">
        <w:rPr>
          <w:rFonts w:ascii="Lato" w:eastAsia="Times New Roman" w:hAnsi="Lato" w:cs="Arial"/>
          <w:color w:val="545454"/>
          <w:sz w:val="27"/>
          <w:szCs w:val="27"/>
          <w:lang w:val="en-US" w:eastAsia="en-GB"/>
        </w:rPr>
        <w:t>recognised</w:t>
      </w:r>
      <w:proofErr w:type="spellEnd"/>
      <w:r w:rsidRPr="00980243">
        <w:rPr>
          <w:rFonts w:ascii="Lato" w:eastAsia="Times New Roman" w:hAnsi="Lato" w:cs="Arial"/>
          <w:color w:val="545454"/>
          <w:sz w:val="27"/>
          <w:szCs w:val="27"/>
          <w:lang w:val="en-US" w:eastAsia="en-GB"/>
        </w:rPr>
        <w:t xml:space="preserve"> religion has to do this?</w:t>
      </w:r>
    </w:p>
    <w:p w14:paraId="7859BB2B"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Does this mean that Christians have to put disclaimers on the door to their churches where people part with their cash in the hope that it gives them a place at the right hand side of God? After all are we able to prove the existence of God in a Court of law?</w:t>
      </w:r>
    </w:p>
    <w:p w14:paraId="256E6638"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My fear is that fraudulent Mediums and Psychics will willingly hide behind the disclaimer ‘for entertainment purposes only’, free from prosecution or redress in the knowledge that what they do is purely to entertain.</w:t>
      </w:r>
    </w:p>
    <w:p w14:paraId="17544717" w14:textId="77777777" w:rsidR="00980243" w:rsidRPr="00980243" w:rsidRDefault="00980243" w:rsidP="00980243">
      <w:pPr>
        <w:shd w:val="clear" w:color="auto" w:fill="FFFFFF"/>
        <w:spacing w:after="390" w:line="240" w:lineRule="auto"/>
        <w:rPr>
          <w:rFonts w:ascii="Lato" w:eastAsia="Times New Roman" w:hAnsi="Lato" w:cs="Arial"/>
          <w:color w:val="545454"/>
          <w:sz w:val="27"/>
          <w:szCs w:val="27"/>
          <w:lang w:val="en-US" w:eastAsia="en-GB"/>
        </w:rPr>
      </w:pPr>
      <w:r w:rsidRPr="00980243">
        <w:rPr>
          <w:rFonts w:ascii="Lato" w:eastAsia="Times New Roman" w:hAnsi="Lato" w:cs="Arial"/>
          <w:color w:val="545454"/>
          <w:sz w:val="27"/>
          <w:szCs w:val="27"/>
          <w:lang w:val="en-US" w:eastAsia="en-GB"/>
        </w:rPr>
        <w:t xml:space="preserve">I am in full support of laws that protect the general public from fake and unscrupulous Psychics. We can all do without them and they tarnish the reputation of those people who provide a genuine and worthwhile service. I do however have serious reservations about the Regulations and we will have to wait and see what sort of impact </w:t>
      </w:r>
      <w:proofErr w:type="spellStart"/>
      <w:r w:rsidRPr="00980243">
        <w:rPr>
          <w:rFonts w:ascii="Lato" w:eastAsia="Times New Roman" w:hAnsi="Lato" w:cs="Arial"/>
          <w:color w:val="545454"/>
          <w:sz w:val="27"/>
          <w:szCs w:val="27"/>
          <w:lang w:val="en-US" w:eastAsia="en-GB"/>
        </w:rPr>
        <w:t>tat</w:t>
      </w:r>
      <w:proofErr w:type="spellEnd"/>
      <w:r w:rsidRPr="00980243">
        <w:rPr>
          <w:rFonts w:ascii="Lato" w:eastAsia="Times New Roman" w:hAnsi="Lato" w:cs="Arial"/>
          <w:color w:val="545454"/>
          <w:sz w:val="27"/>
          <w:szCs w:val="27"/>
          <w:lang w:val="en-US" w:eastAsia="en-GB"/>
        </w:rPr>
        <w:t xml:space="preserve"> they have upon Psychics, Mediums and the Spiritualist religion.</w:t>
      </w:r>
    </w:p>
    <w:p w14:paraId="1738018B" w14:textId="77777777" w:rsidR="00EC7C48" w:rsidRDefault="00007A84"/>
    <w:sectPr w:rsidR="00EC7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321C1"/>
    <w:multiLevelType w:val="multilevel"/>
    <w:tmpl w:val="658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43"/>
    <w:rsid w:val="00007A84"/>
    <w:rsid w:val="0078608C"/>
    <w:rsid w:val="00980243"/>
    <w:rsid w:val="00E9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22BB"/>
  <w15:chartTrackingRefBased/>
  <w15:docId w15:val="{66C8D002-C20D-4BAF-88EF-86E99CAE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0243"/>
    <w:rPr>
      <w:b/>
      <w:bCs/>
    </w:rPr>
  </w:style>
  <w:style w:type="character" w:styleId="Emphasis">
    <w:name w:val="Emphasis"/>
    <w:basedOn w:val="DefaultParagraphFont"/>
    <w:uiPriority w:val="20"/>
    <w:qFormat/>
    <w:rsid w:val="009802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76478">
      <w:bodyDiv w:val="1"/>
      <w:marLeft w:val="0"/>
      <w:marRight w:val="0"/>
      <w:marTop w:val="0"/>
      <w:marBottom w:val="0"/>
      <w:divBdr>
        <w:top w:val="none" w:sz="0" w:space="0" w:color="auto"/>
        <w:left w:val="none" w:sz="0" w:space="0" w:color="auto"/>
        <w:bottom w:val="none" w:sz="0" w:space="0" w:color="auto"/>
        <w:right w:val="none" w:sz="0" w:space="0" w:color="auto"/>
      </w:divBdr>
      <w:divsChild>
        <w:div w:id="239994182">
          <w:marLeft w:val="0"/>
          <w:marRight w:val="0"/>
          <w:marTop w:val="300"/>
          <w:marBottom w:val="300"/>
          <w:divBdr>
            <w:top w:val="single" w:sz="48" w:space="0" w:color="FFFFFF"/>
            <w:left w:val="single" w:sz="48" w:space="0" w:color="FFFFFF"/>
            <w:bottom w:val="single" w:sz="48" w:space="0" w:color="FFFFFF"/>
            <w:right w:val="single" w:sz="48" w:space="0" w:color="FFFFFF"/>
          </w:divBdr>
          <w:divsChild>
            <w:div w:id="63533141">
              <w:marLeft w:val="0"/>
              <w:marRight w:val="0"/>
              <w:marTop w:val="0"/>
              <w:marBottom w:val="0"/>
              <w:divBdr>
                <w:top w:val="none" w:sz="0" w:space="0" w:color="auto"/>
                <w:left w:val="single" w:sz="6" w:space="15" w:color="DDDDDD"/>
                <w:bottom w:val="single" w:sz="6" w:space="15" w:color="DDDDDD"/>
                <w:right w:val="single" w:sz="6" w:space="8" w:color="DDDDDD"/>
              </w:divBdr>
              <w:divsChild>
                <w:div w:id="1061564649">
                  <w:marLeft w:val="0"/>
                  <w:marRight w:val="0"/>
                  <w:marTop w:val="0"/>
                  <w:marBottom w:val="0"/>
                  <w:divBdr>
                    <w:top w:val="none" w:sz="0" w:space="0" w:color="auto"/>
                    <w:left w:val="none" w:sz="0" w:space="0" w:color="auto"/>
                    <w:bottom w:val="none" w:sz="0" w:space="0" w:color="auto"/>
                    <w:right w:val="none" w:sz="0" w:space="0" w:color="auto"/>
                  </w:divBdr>
                  <w:divsChild>
                    <w:div w:id="13813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Hall</dc:creator>
  <cp:keywords/>
  <dc:description/>
  <cp:lastModifiedBy>robert brimfield</cp:lastModifiedBy>
  <cp:revision>2</cp:revision>
  <dcterms:created xsi:type="dcterms:W3CDTF">2018-02-12T20:54:00Z</dcterms:created>
  <dcterms:modified xsi:type="dcterms:W3CDTF">2018-02-12T20:54:00Z</dcterms:modified>
</cp:coreProperties>
</file>